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10" w:type="dxa"/>
          <w:right w:w="10" w:type="dxa"/>
        </w:tblCellMar>
        <w:tblLook w:val="04A0" w:firstRow="1" w:lastRow="0" w:firstColumn="1" w:lastColumn="0" w:noHBand="0" w:noVBand="1"/>
      </w:tblPr>
      <w:tblGrid>
        <w:gridCol w:w="1660"/>
        <w:gridCol w:w="2679"/>
        <w:gridCol w:w="1208"/>
        <w:gridCol w:w="1468"/>
        <w:gridCol w:w="4312"/>
        <w:gridCol w:w="2621"/>
      </w:tblGrid>
      <w:tr w:rsidR="004B78BE" w:rsidTr="00144C4B">
        <w:tblPrEx>
          <w:tblCellMar>
            <w:top w:w="0" w:type="dxa"/>
            <w:bottom w:w="0" w:type="dxa"/>
          </w:tblCellMar>
        </w:tblPrEx>
        <w:trPr>
          <w:trHeight w:val="495"/>
        </w:trPr>
        <w:tc>
          <w:tcPr>
            <w:tcW w:w="1906" w:type="dxa"/>
            <w:tcBorders>
              <w:top w:val="single" w:sz="4" w:space="0" w:color="000000"/>
              <w:left w:val="single" w:sz="4" w:space="0" w:color="000000"/>
              <w:bottom w:val="single" w:sz="4" w:space="0" w:color="000000"/>
              <w:right w:val="single" w:sz="4" w:space="0" w:color="000000"/>
            </w:tcBorders>
            <w:shd w:val="clear" w:color="auto" w:fill="4472C4"/>
            <w:tcMar>
              <w:top w:w="72" w:type="dxa"/>
              <w:left w:w="144" w:type="dxa"/>
              <w:bottom w:w="72" w:type="dxa"/>
              <w:right w:w="144" w:type="dxa"/>
            </w:tcMar>
            <w:vAlign w:val="center"/>
          </w:tcPr>
          <w:p w:rsidR="004B78BE" w:rsidRDefault="004B78BE" w:rsidP="00144C4B">
            <w:pPr>
              <w:spacing w:before="40" w:after="40"/>
              <w:ind w:left="57" w:right="57"/>
            </w:pPr>
            <w:r>
              <w:rPr>
                <w:rFonts w:cs="Calibri"/>
                <w:b/>
                <w:bCs/>
                <w:color w:val="FFFFFF"/>
                <w:sz w:val="20"/>
                <w:szCs w:val="20"/>
              </w:rPr>
              <w:t>Action</w:t>
            </w:r>
          </w:p>
        </w:tc>
        <w:tc>
          <w:tcPr>
            <w:tcW w:w="4252" w:type="dxa"/>
            <w:tcBorders>
              <w:top w:val="single" w:sz="4" w:space="0" w:color="000000"/>
              <w:left w:val="single" w:sz="4" w:space="0" w:color="000000"/>
              <w:bottom w:val="single" w:sz="4" w:space="0" w:color="000000"/>
              <w:right w:val="single" w:sz="4" w:space="0" w:color="000000"/>
            </w:tcBorders>
            <w:shd w:val="clear" w:color="auto" w:fill="4472C4"/>
            <w:tcMar>
              <w:top w:w="0" w:type="dxa"/>
              <w:left w:w="10" w:type="dxa"/>
              <w:bottom w:w="0" w:type="dxa"/>
              <w:right w:w="10" w:type="dxa"/>
            </w:tcMar>
            <w:vAlign w:val="center"/>
          </w:tcPr>
          <w:p w:rsidR="004B78BE" w:rsidRDefault="004B78BE" w:rsidP="00144C4B">
            <w:pPr>
              <w:spacing w:before="40" w:after="40"/>
              <w:ind w:left="57" w:right="57"/>
              <w:rPr>
                <w:rFonts w:cs="Calibri"/>
                <w:b/>
                <w:bCs/>
                <w:color w:val="FFFFFF"/>
                <w:sz w:val="20"/>
                <w:szCs w:val="20"/>
              </w:rPr>
            </w:pPr>
          </w:p>
          <w:p w:rsidR="004B78BE" w:rsidRDefault="004B78BE" w:rsidP="00144C4B">
            <w:pPr>
              <w:spacing w:before="40" w:after="40"/>
              <w:ind w:left="57" w:right="57"/>
              <w:rPr>
                <w:rFonts w:cs="Calibri"/>
                <w:b/>
                <w:bCs/>
                <w:color w:val="FFFFFF"/>
                <w:sz w:val="20"/>
                <w:szCs w:val="20"/>
              </w:rPr>
            </w:pPr>
            <w:r>
              <w:rPr>
                <w:rFonts w:cs="Calibri"/>
                <w:b/>
                <w:bCs/>
                <w:color w:val="FFFFFF"/>
                <w:sz w:val="20"/>
                <w:szCs w:val="20"/>
              </w:rPr>
              <w:t>Brief description</w:t>
            </w:r>
          </w:p>
        </w:tc>
        <w:tc>
          <w:tcPr>
            <w:tcW w:w="1488" w:type="dxa"/>
            <w:tcBorders>
              <w:top w:val="single" w:sz="4" w:space="0" w:color="000000"/>
              <w:left w:val="single" w:sz="4" w:space="0" w:color="000000"/>
              <w:bottom w:val="single" w:sz="4" w:space="0" w:color="000000"/>
              <w:right w:val="single" w:sz="4" w:space="0" w:color="000000"/>
            </w:tcBorders>
            <w:shd w:val="clear" w:color="auto" w:fill="4472C4"/>
            <w:tcMar>
              <w:top w:w="0" w:type="dxa"/>
              <w:left w:w="0" w:type="dxa"/>
              <w:bottom w:w="0" w:type="dxa"/>
              <w:right w:w="0" w:type="dxa"/>
            </w:tcMar>
            <w:vAlign w:val="center"/>
          </w:tcPr>
          <w:p w:rsidR="004B78BE" w:rsidRDefault="004B78BE" w:rsidP="00144C4B">
            <w:pPr>
              <w:spacing w:before="40" w:after="40"/>
              <w:ind w:left="57" w:right="57"/>
              <w:rPr>
                <w:rFonts w:cs="Calibri"/>
                <w:b/>
                <w:bCs/>
                <w:color w:val="FFFFFF"/>
                <w:sz w:val="20"/>
                <w:szCs w:val="20"/>
              </w:rPr>
            </w:pPr>
            <w:r>
              <w:rPr>
                <w:rFonts w:cs="Calibri"/>
                <w:b/>
                <w:bCs/>
                <w:color w:val="FFFFFF"/>
                <w:sz w:val="20"/>
                <w:szCs w:val="20"/>
              </w:rPr>
              <w:t>Optimistic schedule</w:t>
            </w:r>
          </w:p>
        </w:tc>
        <w:tc>
          <w:tcPr>
            <w:tcW w:w="1914" w:type="dxa"/>
            <w:tcBorders>
              <w:top w:val="single" w:sz="4" w:space="0" w:color="000000"/>
              <w:left w:val="single" w:sz="4" w:space="0" w:color="000000"/>
              <w:bottom w:val="single" w:sz="4" w:space="0" w:color="000000"/>
              <w:right w:val="single" w:sz="4" w:space="0" w:color="000000"/>
            </w:tcBorders>
            <w:shd w:val="clear" w:color="auto" w:fill="4472C4"/>
            <w:tcMar>
              <w:top w:w="0" w:type="dxa"/>
              <w:left w:w="0" w:type="dxa"/>
              <w:bottom w:w="0" w:type="dxa"/>
              <w:right w:w="0" w:type="dxa"/>
            </w:tcMar>
            <w:vAlign w:val="center"/>
          </w:tcPr>
          <w:p w:rsidR="004B78BE" w:rsidRDefault="004B78BE" w:rsidP="00144C4B">
            <w:pPr>
              <w:spacing w:before="40" w:after="40"/>
              <w:ind w:left="57" w:right="57"/>
            </w:pPr>
            <w:r>
              <w:rPr>
                <w:rFonts w:cs="Calibri"/>
                <w:b/>
                <w:bCs/>
                <w:color w:val="FFFFFF"/>
                <w:sz w:val="20"/>
                <w:szCs w:val="20"/>
              </w:rPr>
              <w:t xml:space="preserve">Foreseen Barriers / Risks </w:t>
            </w:r>
          </w:p>
        </w:tc>
        <w:tc>
          <w:tcPr>
            <w:tcW w:w="7230" w:type="dxa"/>
            <w:tcBorders>
              <w:top w:val="single" w:sz="4" w:space="0" w:color="000000"/>
              <w:left w:val="single" w:sz="4" w:space="0" w:color="000000"/>
              <w:bottom w:val="single" w:sz="4" w:space="0" w:color="000000"/>
              <w:right w:val="single" w:sz="4" w:space="0" w:color="000000"/>
            </w:tcBorders>
            <w:shd w:val="clear" w:color="auto" w:fill="4472C4"/>
            <w:tcMar>
              <w:top w:w="0" w:type="dxa"/>
              <w:left w:w="10" w:type="dxa"/>
              <w:bottom w:w="0" w:type="dxa"/>
              <w:right w:w="10" w:type="dxa"/>
            </w:tcMar>
            <w:vAlign w:val="center"/>
          </w:tcPr>
          <w:p w:rsidR="004B78BE" w:rsidRDefault="004B78BE" w:rsidP="00144C4B">
            <w:pPr>
              <w:spacing w:before="40" w:after="40"/>
              <w:ind w:left="57" w:right="57"/>
              <w:rPr>
                <w:rFonts w:cs="Calibri"/>
                <w:b/>
                <w:bCs/>
                <w:color w:val="FFFFFF"/>
                <w:sz w:val="20"/>
                <w:szCs w:val="20"/>
              </w:rPr>
            </w:pPr>
            <w:r>
              <w:rPr>
                <w:rFonts w:cs="Calibri"/>
                <w:b/>
                <w:bCs/>
                <w:color w:val="FFFFFF"/>
                <w:sz w:val="20"/>
                <w:szCs w:val="20"/>
              </w:rPr>
              <w:t>Proposed Mitigations</w:t>
            </w:r>
          </w:p>
        </w:tc>
        <w:tc>
          <w:tcPr>
            <w:tcW w:w="4131" w:type="dxa"/>
            <w:tcBorders>
              <w:top w:val="single" w:sz="4" w:space="0" w:color="000000"/>
              <w:left w:val="single" w:sz="4" w:space="0" w:color="000000"/>
              <w:bottom w:val="single" w:sz="4" w:space="0" w:color="000000"/>
              <w:right w:val="single" w:sz="4" w:space="0" w:color="000000"/>
            </w:tcBorders>
            <w:shd w:val="clear" w:color="auto" w:fill="4472C4"/>
            <w:tcMar>
              <w:top w:w="0" w:type="dxa"/>
              <w:left w:w="10" w:type="dxa"/>
              <w:bottom w:w="0" w:type="dxa"/>
              <w:right w:w="10" w:type="dxa"/>
            </w:tcMar>
            <w:vAlign w:val="center"/>
          </w:tcPr>
          <w:p w:rsidR="004B78BE" w:rsidRDefault="004B78BE" w:rsidP="00144C4B">
            <w:pPr>
              <w:spacing w:before="40" w:after="40"/>
              <w:ind w:left="57" w:right="57"/>
              <w:rPr>
                <w:rFonts w:cs="Calibri"/>
                <w:b/>
                <w:bCs/>
                <w:color w:val="FFFFFF"/>
                <w:sz w:val="20"/>
                <w:szCs w:val="20"/>
              </w:rPr>
            </w:pPr>
            <w:r>
              <w:rPr>
                <w:rFonts w:cs="Calibri"/>
                <w:b/>
                <w:bCs/>
                <w:color w:val="FFFFFF"/>
                <w:sz w:val="20"/>
                <w:szCs w:val="20"/>
              </w:rPr>
              <w:t>Recommended Resources</w:t>
            </w:r>
          </w:p>
        </w:tc>
      </w:tr>
      <w:tr w:rsidR="004B78BE" w:rsidTr="00144C4B">
        <w:tblPrEx>
          <w:tblCellMar>
            <w:top w:w="0" w:type="dxa"/>
            <w:bottom w:w="0" w:type="dxa"/>
          </w:tblCellMar>
        </w:tblPrEx>
        <w:trPr>
          <w:trHeight w:val="936"/>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rsidR="004B78BE" w:rsidRDefault="004B78BE" w:rsidP="00144C4B">
            <w:pPr>
              <w:suppressAutoHyphens w:val="0"/>
              <w:spacing w:before="40" w:after="40"/>
              <w:ind w:left="57" w:right="57"/>
              <w:textAlignment w:val="auto"/>
              <w:rPr>
                <w:rFonts w:cs="Calibri"/>
                <w:sz w:val="20"/>
                <w:szCs w:val="20"/>
              </w:rPr>
            </w:pPr>
            <w:r>
              <w:rPr>
                <w:rFonts w:cs="Calibri"/>
                <w:sz w:val="20"/>
                <w:szCs w:val="20"/>
              </w:rPr>
              <w:t>Involve communities in identifying assets and insight that might help tackle obesity.</w:t>
            </w:r>
          </w:p>
          <w:p w:rsidR="004B78BE" w:rsidRDefault="004B78BE" w:rsidP="00144C4B">
            <w:pPr>
              <w:spacing w:before="40" w:after="40"/>
              <w:ind w:left="57" w:right="57"/>
              <w:rPr>
                <w:rFonts w:cs="Calibri"/>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B78BE" w:rsidRDefault="004B78BE" w:rsidP="00144C4B">
            <w:pPr>
              <w:suppressAutoHyphens w:val="0"/>
              <w:spacing w:before="40" w:after="40"/>
              <w:ind w:left="57" w:right="57"/>
              <w:textAlignment w:val="auto"/>
              <w:rPr>
                <w:rFonts w:cs="Calibri"/>
                <w:sz w:val="20"/>
                <w:szCs w:val="20"/>
              </w:rPr>
            </w:pPr>
            <w:r>
              <w:rPr>
                <w:rFonts w:cs="Calibri"/>
                <w:sz w:val="20"/>
                <w:szCs w:val="20"/>
              </w:rPr>
              <w:t>Using community insight is characteristic of a whole system approach. If you use it well, it can be transformative.</w:t>
            </w:r>
          </w:p>
          <w:p w:rsidR="004B78BE" w:rsidRDefault="004B78BE" w:rsidP="00144C4B">
            <w:pPr>
              <w:suppressAutoHyphens w:val="0"/>
              <w:spacing w:before="40" w:after="40"/>
              <w:ind w:left="57" w:right="57"/>
              <w:textAlignment w:val="auto"/>
            </w:pPr>
            <w:r>
              <w:rPr>
                <w:rFonts w:cs="Calibri"/>
                <w:sz w:val="20"/>
                <w:szCs w:val="20"/>
              </w:rPr>
              <w:t xml:space="preserve"> </w:t>
            </w:r>
          </w:p>
          <w:p w:rsidR="004B78BE" w:rsidRDefault="004B78BE" w:rsidP="00144C4B">
            <w:pPr>
              <w:suppressAutoHyphens w:val="0"/>
              <w:spacing w:before="40" w:after="40"/>
              <w:ind w:left="57" w:right="57"/>
              <w:textAlignment w:val="auto"/>
              <w:rPr>
                <w:rFonts w:cs="Calibri"/>
                <w:sz w:val="20"/>
                <w:szCs w:val="20"/>
              </w:rPr>
            </w:pPr>
            <w:r>
              <w:rPr>
                <w:rFonts w:cs="Calibri"/>
                <w:sz w:val="20"/>
                <w:szCs w:val="20"/>
              </w:rPr>
              <w:t xml:space="preserve">Look for insight on people’s challenges to healthy eating and activity. </w:t>
            </w:r>
          </w:p>
          <w:p w:rsidR="004B78BE" w:rsidRDefault="004B78BE" w:rsidP="00144C4B">
            <w:pPr>
              <w:suppressAutoHyphens w:val="0"/>
              <w:spacing w:before="40" w:after="40"/>
              <w:ind w:left="57" w:right="57"/>
              <w:textAlignment w:val="auto"/>
              <w:rPr>
                <w:rFonts w:cs="Calibri"/>
                <w:sz w:val="20"/>
                <w:szCs w:val="20"/>
              </w:rPr>
            </w:pPr>
            <w:r>
              <w:rPr>
                <w:rFonts w:cs="Calibri"/>
                <w:sz w:val="20"/>
                <w:szCs w:val="20"/>
              </w:rPr>
              <w:t xml:space="preserve">Look for insight on what local people want seen done about it </w:t>
            </w:r>
          </w:p>
          <w:p w:rsidR="004B78BE" w:rsidRDefault="004B78BE" w:rsidP="00144C4B">
            <w:pPr>
              <w:suppressAutoHyphens w:val="0"/>
              <w:spacing w:before="40" w:after="40"/>
              <w:ind w:left="57" w:right="57"/>
              <w:textAlignment w:val="auto"/>
              <w:rPr>
                <w:rFonts w:cs="Calibri"/>
                <w:sz w:val="20"/>
                <w:szCs w:val="20"/>
              </w:rPr>
            </w:pPr>
            <w:r>
              <w:rPr>
                <w:rFonts w:cs="Calibri"/>
                <w:sz w:val="20"/>
                <w:szCs w:val="20"/>
              </w:rPr>
              <w:t>Look for insight on how people experience current services.</w:t>
            </w:r>
          </w:p>
          <w:p w:rsidR="004B78BE" w:rsidRDefault="004B78BE" w:rsidP="00144C4B">
            <w:pPr>
              <w:suppressAutoHyphens w:val="0"/>
              <w:spacing w:before="40" w:after="40"/>
              <w:ind w:left="57" w:right="57"/>
              <w:textAlignment w:val="auto"/>
              <w:rPr>
                <w:rFonts w:cs="Calibri"/>
                <w:sz w:val="20"/>
                <w:szCs w:val="20"/>
              </w:rPr>
            </w:pPr>
            <w:r>
              <w:rPr>
                <w:rFonts w:cs="Calibri"/>
                <w:sz w:val="20"/>
                <w:szCs w:val="20"/>
              </w:rPr>
              <w:t xml:space="preserve">Look for local anchor organisations with a propensity to support whole system interventions. </w:t>
            </w:r>
          </w:p>
          <w:p w:rsidR="004B78BE" w:rsidRDefault="004B78BE" w:rsidP="00144C4B">
            <w:pPr>
              <w:suppressAutoHyphens w:val="0"/>
              <w:spacing w:before="40" w:after="40"/>
              <w:ind w:left="57" w:right="57"/>
              <w:textAlignment w:val="auto"/>
              <w:rPr>
                <w:rFonts w:cs="Calibri"/>
                <w:sz w:val="20"/>
                <w:szCs w:val="20"/>
              </w:rPr>
            </w:pPr>
            <w:r>
              <w:rPr>
                <w:rFonts w:cs="Calibri"/>
                <w:sz w:val="20"/>
                <w:szCs w:val="20"/>
              </w:rPr>
              <w:t>Recruit stakeholders for duration of the approach.</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78BE" w:rsidRDefault="004B78BE" w:rsidP="00144C4B">
            <w:pPr>
              <w:spacing w:before="40" w:after="40"/>
              <w:ind w:left="57" w:right="57"/>
              <w:jc w:val="center"/>
              <w:rPr>
                <w:rFonts w:cs="Calibri"/>
                <w:sz w:val="20"/>
                <w:szCs w:val="20"/>
              </w:rPr>
            </w:pPr>
            <w:r>
              <w:rPr>
                <w:rFonts w:cs="Calibri"/>
                <w:sz w:val="20"/>
                <w:szCs w:val="20"/>
              </w:rPr>
              <w:t>Week 3-Week 8</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78BE" w:rsidRDefault="004B78BE" w:rsidP="00144C4B">
            <w:pPr>
              <w:spacing w:before="40" w:after="40"/>
              <w:ind w:right="57"/>
              <w:rPr>
                <w:rFonts w:cs="Calibri"/>
                <w:sz w:val="20"/>
                <w:szCs w:val="20"/>
              </w:rPr>
            </w:pPr>
            <w:r>
              <w:rPr>
                <w:rFonts w:cs="Calibri"/>
                <w:sz w:val="20"/>
                <w:szCs w:val="20"/>
              </w:rPr>
              <w:t xml:space="preserve">Meaningful community engagement takes time, resource and forethought. </w:t>
            </w:r>
          </w:p>
          <w:p w:rsidR="004B78BE" w:rsidRDefault="004B78BE" w:rsidP="00144C4B">
            <w:pPr>
              <w:spacing w:before="40" w:after="40"/>
              <w:ind w:right="57"/>
              <w:rPr>
                <w:rFonts w:cs="Calibri"/>
                <w:sz w:val="20"/>
                <w:szCs w:val="20"/>
              </w:rPr>
            </w:pPr>
          </w:p>
          <w:p w:rsidR="004B78BE" w:rsidRDefault="004B78BE" w:rsidP="00144C4B">
            <w:pPr>
              <w:spacing w:before="40" w:after="40"/>
              <w:ind w:right="57"/>
              <w:rPr>
                <w:rFonts w:cs="Calibri"/>
                <w:sz w:val="20"/>
                <w:szCs w:val="20"/>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B78BE" w:rsidRDefault="004B78BE" w:rsidP="00144C4B">
            <w:pPr>
              <w:suppressAutoHyphens w:val="0"/>
              <w:spacing w:before="40" w:after="40"/>
              <w:ind w:left="57" w:right="57"/>
              <w:textAlignment w:val="auto"/>
              <w:rPr>
                <w:rFonts w:cs="Calibri"/>
                <w:sz w:val="20"/>
                <w:szCs w:val="20"/>
              </w:rPr>
            </w:pPr>
            <w:r>
              <w:rPr>
                <w:rFonts w:cs="Calibri"/>
                <w:sz w:val="20"/>
                <w:szCs w:val="20"/>
              </w:rPr>
              <w:t xml:space="preserve">Look at data from recent consultative exercises. Look within local systems to identify existing community insight and collate it for this purpose. </w:t>
            </w:r>
          </w:p>
          <w:p w:rsidR="004B78BE" w:rsidRDefault="004B78BE" w:rsidP="00144C4B">
            <w:pPr>
              <w:suppressAutoHyphens w:val="0"/>
              <w:spacing w:before="40" w:after="40"/>
              <w:ind w:left="57" w:right="57"/>
              <w:textAlignment w:val="auto"/>
              <w:rPr>
                <w:rFonts w:cs="Calibri"/>
                <w:sz w:val="20"/>
                <w:szCs w:val="20"/>
              </w:rPr>
            </w:pPr>
          </w:p>
          <w:p w:rsidR="004B78BE" w:rsidRDefault="004B78BE" w:rsidP="00144C4B">
            <w:pPr>
              <w:suppressAutoHyphens w:val="0"/>
              <w:spacing w:before="40" w:after="40"/>
              <w:ind w:left="57" w:right="57"/>
              <w:textAlignment w:val="auto"/>
              <w:rPr>
                <w:rFonts w:cs="Calibri"/>
                <w:sz w:val="20"/>
                <w:szCs w:val="20"/>
              </w:rPr>
            </w:pPr>
            <w:r>
              <w:rPr>
                <w:rFonts w:cs="Calibri"/>
                <w:sz w:val="20"/>
                <w:szCs w:val="20"/>
              </w:rPr>
              <w:t xml:space="preserve">Decide if there’s time enough to collect what’s needed. If not, schedule further opportunity for community insight. </w:t>
            </w:r>
          </w:p>
          <w:p w:rsidR="004B78BE" w:rsidRDefault="004B78BE" w:rsidP="00144C4B">
            <w:pPr>
              <w:suppressAutoHyphens w:val="0"/>
              <w:spacing w:before="40" w:after="40"/>
              <w:ind w:left="57" w:right="57"/>
              <w:textAlignment w:val="auto"/>
              <w:rPr>
                <w:rFonts w:cs="Calibri"/>
                <w:sz w:val="20"/>
                <w:szCs w:val="20"/>
              </w:rPr>
            </w:pPr>
          </w:p>
          <w:p w:rsidR="004B78BE" w:rsidRDefault="004B78BE" w:rsidP="00144C4B">
            <w:pPr>
              <w:suppressAutoHyphens w:val="0"/>
              <w:spacing w:before="40" w:after="40"/>
              <w:ind w:left="57" w:right="57"/>
              <w:textAlignment w:val="auto"/>
              <w:rPr>
                <w:rFonts w:cs="Calibri"/>
                <w:sz w:val="20"/>
                <w:szCs w:val="20"/>
              </w:rPr>
            </w:pPr>
            <w:r>
              <w:rPr>
                <w:rFonts w:cs="Calibri"/>
                <w:sz w:val="20"/>
                <w:szCs w:val="20"/>
              </w:rPr>
              <w:t>Consult your area’s third sector interface or existing healthy weight partnership.</w:t>
            </w:r>
          </w:p>
          <w:p w:rsidR="004B78BE" w:rsidRDefault="004B78BE" w:rsidP="00144C4B">
            <w:pPr>
              <w:suppressAutoHyphens w:val="0"/>
              <w:spacing w:before="40" w:after="40"/>
              <w:ind w:left="57" w:right="57"/>
              <w:textAlignment w:val="auto"/>
              <w:rPr>
                <w:rFonts w:cs="Calibri"/>
                <w:sz w:val="20"/>
                <w:szCs w:val="20"/>
              </w:rPr>
            </w:pPr>
          </w:p>
          <w:p w:rsidR="004B78BE" w:rsidRDefault="004B78BE" w:rsidP="00144C4B">
            <w:pPr>
              <w:suppressAutoHyphens w:val="0"/>
              <w:spacing w:before="40" w:after="40"/>
              <w:ind w:left="57" w:right="57"/>
              <w:textAlignment w:val="auto"/>
              <w:rPr>
                <w:rFonts w:cs="Calibri"/>
                <w:sz w:val="20"/>
                <w:szCs w:val="20"/>
              </w:rPr>
            </w:pPr>
            <w:r>
              <w:rPr>
                <w:rFonts w:cs="Calibri"/>
                <w:sz w:val="20"/>
                <w:szCs w:val="20"/>
              </w:rPr>
              <w:t>Try to get community members (and anchor and third sector organisations) to attend your workshops and join your systems network. They can bring their community insight to bare on to each and every decision. They can do this in person and first-hand.</w:t>
            </w:r>
          </w:p>
          <w:p w:rsidR="004B78BE" w:rsidRDefault="004B78BE" w:rsidP="00144C4B">
            <w:pPr>
              <w:suppressAutoHyphens w:val="0"/>
              <w:spacing w:before="40" w:after="40"/>
              <w:ind w:left="57" w:right="57"/>
              <w:textAlignment w:val="auto"/>
              <w:rPr>
                <w:rFonts w:cs="Calibri"/>
                <w:sz w:val="20"/>
                <w:szCs w:val="20"/>
              </w:rPr>
            </w:pPr>
          </w:p>
          <w:p w:rsidR="004B78BE" w:rsidRDefault="004B78BE" w:rsidP="00144C4B">
            <w:pPr>
              <w:suppressAutoHyphens w:val="0"/>
              <w:spacing w:before="40" w:after="40"/>
              <w:ind w:left="57" w:right="57"/>
              <w:textAlignment w:val="auto"/>
              <w:rPr>
                <w:rFonts w:cs="Calibri"/>
                <w:sz w:val="20"/>
                <w:szCs w:val="20"/>
              </w:rPr>
            </w:pPr>
            <w:r>
              <w:rPr>
                <w:rFonts w:cs="Calibri"/>
                <w:sz w:val="20"/>
                <w:szCs w:val="20"/>
              </w:rPr>
              <w:t>If you do seek to run new community insight studies/consultations, work out approximately who you want to consult, for what purpose and when. Decide what consultation must take place before workshop 1, and what would still be worthwhile later to inform workshop 2.</w:t>
            </w:r>
          </w:p>
        </w:tc>
        <w:tc>
          <w:tcPr>
            <w:tcW w:w="4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B78BE" w:rsidRDefault="004B78BE" w:rsidP="00144C4B">
            <w:pPr>
              <w:suppressAutoHyphens w:val="0"/>
              <w:spacing w:before="40" w:after="40"/>
              <w:ind w:left="57" w:right="57"/>
              <w:textAlignment w:val="auto"/>
            </w:pPr>
            <w:r>
              <w:rPr>
                <w:rFonts w:cs="Calibri"/>
                <w:sz w:val="20"/>
                <w:szCs w:val="20"/>
              </w:rPr>
              <w:t>Approach your area’s community engagement and community development personnel for help.</w:t>
            </w:r>
          </w:p>
          <w:p w:rsidR="004B78BE" w:rsidRDefault="004B78BE" w:rsidP="00144C4B">
            <w:pPr>
              <w:suppressAutoHyphens w:val="0"/>
              <w:spacing w:before="40" w:after="40"/>
              <w:ind w:left="57" w:right="57"/>
              <w:textAlignment w:val="auto"/>
            </w:pPr>
          </w:p>
          <w:p w:rsidR="004B78BE" w:rsidRDefault="004B78BE" w:rsidP="00144C4B">
            <w:pPr>
              <w:suppressAutoHyphens w:val="0"/>
              <w:spacing w:before="40" w:after="40"/>
              <w:ind w:left="57" w:right="57"/>
              <w:textAlignment w:val="auto"/>
            </w:pPr>
            <w:hyperlink r:id="rId4" w:history="1">
              <w:r>
                <w:rPr>
                  <w:rStyle w:val="Hyperlink"/>
                  <w:rFonts w:cs="Calibri"/>
                  <w:sz w:val="20"/>
                  <w:szCs w:val="20"/>
                </w:rPr>
                <w:t>Community Food and Health Scotland</w:t>
              </w:r>
            </w:hyperlink>
            <w:r>
              <w:rPr>
                <w:rFonts w:cs="Calibri"/>
                <w:sz w:val="20"/>
                <w:szCs w:val="20"/>
              </w:rPr>
              <w:t xml:space="preserve"> and </w:t>
            </w:r>
            <w:hyperlink r:id="rId5" w:history="1">
              <w:r>
                <w:rPr>
                  <w:rStyle w:val="Hyperlink"/>
                  <w:rFonts w:cs="Calibri"/>
                  <w:sz w:val="20"/>
                  <w:szCs w:val="20"/>
                </w:rPr>
                <w:t>CHEX</w:t>
              </w:r>
            </w:hyperlink>
            <w:r>
              <w:rPr>
                <w:rFonts w:cs="Calibri"/>
                <w:sz w:val="20"/>
                <w:szCs w:val="20"/>
              </w:rPr>
              <w:t xml:space="preserve"> will have significant expertise in the area. </w:t>
            </w:r>
          </w:p>
          <w:p w:rsidR="004B78BE" w:rsidRDefault="004B78BE" w:rsidP="00144C4B">
            <w:pPr>
              <w:suppressAutoHyphens w:val="0"/>
              <w:spacing w:before="40" w:after="40"/>
              <w:ind w:left="57" w:right="57"/>
              <w:textAlignment w:val="auto"/>
            </w:pPr>
            <w:r>
              <w:rPr>
                <w:rFonts w:cs="Calibri"/>
                <w:sz w:val="20"/>
                <w:szCs w:val="20"/>
              </w:rPr>
              <w:t xml:space="preserve">The </w:t>
            </w:r>
            <w:hyperlink r:id="rId6" w:history="1">
              <w:r>
                <w:rPr>
                  <w:rStyle w:val="Hyperlink"/>
                  <w:rFonts w:cs="Calibri"/>
                  <w:sz w:val="20"/>
                  <w:szCs w:val="20"/>
                </w:rPr>
                <w:t>Place Stand</w:t>
              </w:r>
              <w:bookmarkStart w:id="0" w:name="_Hlt23158912"/>
              <w:bookmarkStart w:id="1" w:name="_Hlt23158913"/>
              <w:r>
                <w:rPr>
                  <w:rStyle w:val="Hyperlink"/>
                  <w:rFonts w:cs="Calibri"/>
                  <w:sz w:val="20"/>
                  <w:szCs w:val="20"/>
                </w:rPr>
                <w:t>a</w:t>
              </w:r>
              <w:bookmarkEnd w:id="0"/>
              <w:bookmarkEnd w:id="1"/>
              <w:r>
                <w:rPr>
                  <w:rStyle w:val="Hyperlink"/>
                  <w:rFonts w:cs="Calibri"/>
                  <w:sz w:val="20"/>
                  <w:szCs w:val="20"/>
                </w:rPr>
                <w:t>rd</w:t>
              </w:r>
            </w:hyperlink>
            <w:r>
              <w:rPr>
                <w:rFonts w:cs="Calibri"/>
                <w:sz w:val="20"/>
                <w:szCs w:val="20"/>
              </w:rPr>
              <w:t xml:space="preserve"> is a way of assessing places.</w:t>
            </w:r>
          </w:p>
          <w:p w:rsidR="004B78BE" w:rsidRDefault="004B78BE" w:rsidP="00144C4B">
            <w:pPr>
              <w:suppressAutoHyphens w:val="0"/>
              <w:spacing w:before="40" w:after="40"/>
              <w:ind w:left="57" w:right="57"/>
              <w:textAlignment w:val="auto"/>
            </w:pPr>
            <w:r>
              <w:rPr>
                <w:rFonts w:cs="Calibri"/>
                <w:sz w:val="20"/>
                <w:szCs w:val="20"/>
              </w:rPr>
              <w:t xml:space="preserve">PHE have produced a </w:t>
            </w:r>
            <w:hyperlink r:id="rId7" w:history="1">
              <w:r>
                <w:rPr>
                  <w:rStyle w:val="Hyperlink"/>
                  <w:rFonts w:cs="Calibri"/>
                  <w:sz w:val="20"/>
                  <w:szCs w:val="20"/>
                </w:rPr>
                <w:t>resource</w:t>
              </w:r>
            </w:hyperlink>
            <w:r>
              <w:rPr>
                <w:rFonts w:cs="Calibri"/>
                <w:sz w:val="20"/>
                <w:szCs w:val="20"/>
              </w:rPr>
              <w:t xml:space="preserve"> on this.</w:t>
            </w:r>
          </w:p>
          <w:p w:rsidR="004B78BE" w:rsidRDefault="004B78BE" w:rsidP="00144C4B">
            <w:pPr>
              <w:suppressAutoHyphens w:val="0"/>
              <w:spacing w:before="40" w:after="40"/>
              <w:ind w:left="57" w:right="57"/>
              <w:textAlignment w:val="auto"/>
              <w:rPr>
                <w:rFonts w:cs="Calibri"/>
                <w:sz w:val="20"/>
                <w:szCs w:val="20"/>
              </w:rPr>
            </w:pPr>
          </w:p>
          <w:p w:rsidR="004B78BE" w:rsidRDefault="004B78BE" w:rsidP="00144C4B">
            <w:pPr>
              <w:suppressAutoHyphens w:val="0"/>
              <w:spacing w:before="40" w:after="40"/>
              <w:ind w:left="57" w:right="57"/>
              <w:textAlignment w:val="auto"/>
              <w:rPr>
                <w:rFonts w:cs="Calibri"/>
                <w:sz w:val="20"/>
                <w:szCs w:val="20"/>
              </w:rPr>
            </w:pPr>
            <w:r>
              <w:rPr>
                <w:rFonts w:cs="Calibri"/>
                <w:sz w:val="20"/>
                <w:szCs w:val="20"/>
              </w:rPr>
              <w:t>I will also provide examples from people who have used qualitative data to explain their experience of the systems that determine their diet and healthy weight.</w:t>
            </w:r>
          </w:p>
          <w:p w:rsidR="004B78BE" w:rsidRDefault="004B78BE" w:rsidP="00144C4B">
            <w:pPr>
              <w:suppressAutoHyphens w:val="0"/>
              <w:spacing w:before="40" w:after="40"/>
              <w:ind w:left="57" w:right="57"/>
              <w:textAlignment w:val="auto"/>
            </w:pPr>
            <w:r>
              <w:rPr>
                <w:rFonts w:cs="Calibri"/>
                <w:sz w:val="20"/>
                <w:szCs w:val="20"/>
              </w:rPr>
              <w:t xml:space="preserve"> </w:t>
            </w:r>
          </w:p>
          <w:p w:rsidR="004B78BE" w:rsidRDefault="004B78BE" w:rsidP="00144C4B">
            <w:pPr>
              <w:suppressAutoHyphens w:val="0"/>
              <w:autoSpaceDE w:val="0"/>
              <w:spacing w:before="40" w:after="40"/>
              <w:ind w:left="57" w:right="57"/>
              <w:textAlignment w:val="auto"/>
              <w:rPr>
                <w:rFonts w:cs="Calibri"/>
                <w:iCs/>
                <w:sz w:val="20"/>
                <w:szCs w:val="20"/>
              </w:rPr>
            </w:pPr>
          </w:p>
        </w:tc>
      </w:tr>
    </w:tbl>
    <w:p w:rsidR="00AF1302" w:rsidRDefault="004B78BE">
      <w:bookmarkStart w:id="2" w:name="_GoBack"/>
      <w:bookmarkEnd w:id="2"/>
    </w:p>
    <w:p w:rsidR="00E07B27" w:rsidRDefault="00E07B27"/>
    <w:sectPr w:rsidR="00E07B27" w:rsidSect="00FC788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81"/>
    <w:rsid w:val="00125FC2"/>
    <w:rsid w:val="001E3B23"/>
    <w:rsid w:val="00245649"/>
    <w:rsid w:val="004B78BE"/>
    <w:rsid w:val="00974C58"/>
    <w:rsid w:val="00DC4460"/>
    <w:rsid w:val="00E07B27"/>
    <w:rsid w:val="00E903CB"/>
    <w:rsid w:val="00FC7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B88C3-453C-43E6-966F-484E0B18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C7881"/>
    <w:pPr>
      <w:suppressAutoHyphens/>
      <w:autoSpaceDN w:val="0"/>
      <w:spacing w:line="240" w:lineRule="auto"/>
      <w:textAlignment w:val="baseline"/>
    </w:pPr>
    <w:rPr>
      <w:rFonts w:ascii="Calibri" w:eastAsia="Calibri" w:hAnsi="Calibri" w:cs="Times New Roman"/>
    </w:rPr>
  </w:style>
  <w:style w:type="paragraph" w:styleId="Heading4">
    <w:name w:val="heading 4"/>
    <w:basedOn w:val="Normal"/>
    <w:next w:val="Normal"/>
    <w:link w:val="Heading4Char"/>
    <w:rsid w:val="00FC7881"/>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FC7881"/>
    <w:pPr>
      <w:suppressAutoHyphens w:val="0"/>
      <w:spacing w:before="100" w:after="100"/>
      <w:textAlignment w:val="auto"/>
    </w:pPr>
    <w:rPr>
      <w:rFonts w:ascii="Times New Roman" w:hAnsi="Times New Roman"/>
      <w:sz w:val="24"/>
      <w:szCs w:val="24"/>
      <w:lang w:eastAsia="en-GB"/>
    </w:rPr>
  </w:style>
  <w:style w:type="character" w:customStyle="1" w:styleId="Heading4Char">
    <w:name w:val="Heading 4 Char"/>
    <w:basedOn w:val="DefaultParagraphFont"/>
    <w:link w:val="Heading4"/>
    <w:rsid w:val="00FC7881"/>
    <w:rPr>
      <w:rFonts w:ascii="Calibri Light" w:eastAsia="Times New Roman" w:hAnsi="Calibri Light" w:cs="Times New Roman"/>
      <w:i/>
      <w:iCs/>
      <w:color w:val="2E74B5"/>
    </w:rPr>
  </w:style>
  <w:style w:type="paragraph" w:styleId="ListParagraph">
    <w:name w:val="List Paragraph"/>
    <w:basedOn w:val="Normal"/>
    <w:rsid w:val="00E07B27"/>
    <w:pPr>
      <w:spacing w:line="244" w:lineRule="auto"/>
      <w:ind w:left="720"/>
    </w:pPr>
  </w:style>
  <w:style w:type="character" w:styleId="Hyperlink">
    <w:name w:val="Hyperlink"/>
    <w:rsid w:val="00245649"/>
    <w:rPr>
      <w:color w:val="98002E"/>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hub.net/web/phe-national/public-library/-/document_library/v2WsRK3ZlEig/view_file/221538539?_com_liferay_document_library_web_portlet_DLPortlet_INSTANCE_v2WsRK3ZlEig_redirect=https%3A%2F%2Fkhub.net%3A443%2Fweb%2Fphe-national%2Fpublic-library%2F-%2Fdocument_library%2Fv2WsRK3ZlEig%2Fview%2F221359434%3F_com_liferay_document_library_web_portlet_DLPortlet_INSTANCE_v2WsRK3ZlEig_navigation%3Dhome%26_com_liferay_document_library_web_portlet_DLPortlet_INSTANCE_v2WsRK3ZlEig_deltaFolder%3D%26_com_liferay_document_library_web_portlet_DLPortlet_INSTANCE_v2WsRK3ZlEig_orderByCol%3DmodifiedDate%26_com_liferay_document_library_web_portlet_DLPortlet_INSTANCE_v2WsRK3ZlEig_curFolder%3D%26_com_liferay_document_library_web_portlet_DLPortlet_INSTANCE_v2WsRK3ZlEig_curEntry%3D1%26_com_liferay_document_library_web_portlet_DLPortlet_INSTANCE_v2WsRK3ZlEig_orderByType%3Dasc%26p_r_p_resetCur%3Dfalse%26_com_liferay_document_library_web_portlet_DLPortlet_INSTANCE_v2WsRK3ZlEig_deltaEntry%3D20"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cestandard.scot/" TargetMode="External"/><Relationship Id="rId11" Type="http://schemas.openxmlformats.org/officeDocument/2006/relationships/customXml" Target="../customXml/item2.xml"/><Relationship Id="rId5" Type="http://schemas.openxmlformats.org/officeDocument/2006/relationships/hyperlink" Target="http://www.chex.org.uk/" TargetMode="External"/><Relationship Id="rId10" Type="http://schemas.openxmlformats.org/officeDocument/2006/relationships/customXml" Target="../customXml/item1.xml"/><Relationship Id="rId4" Type="http://schemas.openxmlformats.org/officeDocument/2006/relationships/hyperlink" Target="https://www.communityfoodandhealth.org.uk/wp-content/uploads/2018/10/Catriona-Rooke-Food-Insecurity-in-Scotland-Final.ppt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1094F15B9834F911C6519F3E3CCA0" ma:contentTypeVersion="13" ma:contentTypeDescription="Create a new document." ma:contentTypeScope="" ma:versionID="2aacf22933bf4289a9f0ce32c10d04c8">
  <xsd:schema xmlns:xsd="http://www.w3.org/2001/XMLSchema" xmlns:xs="http://www.w3.org/2001/XMLSchema" xmlns:p="http://schemas.microsoft.com/office/2006/metadata/properties" xmlns:ns2="999e8182-db6f-4e28-8bf8-d1e72fab0cb8" xmlns:ns3="59d4e68c-a2c4-4e5a-9b5d-4b6ab7ea85d1" targetNamespace="http://schemas.microsoft.com/office/2006/metadata/properties" ma:root="true" ma:fieldsID="061f130eefbeae96ad07731df3f44835" ns2:_="" ns3:_="">
    <xsd:import namespace="999e8182-db6f-4e28-8bf8-d1e72fab0cb8"/>
    <xsd:import namespace="59d4e68c-a2c4-4e5a-9b5d-4b6ab7ea85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e8182-db6f-4e28-8bf8-d1e72fab0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a19cc31-474a-44c6-a246-2e7f4799361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4e68c-a2c4-4e5a-9b5d-4b6ab7ea85d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68c145b-2a49-43f4-8dac-ca119ef47fc0}" ma:internalName="TaxCatchAll" ma:showField="CatchAllData" ma:web="59d4e68c-a2c4-4e5a-9b5d-4b6ab7ea85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d4e68c-a2c4-4e5a-9b5d-4b6ab7ea85d1" xsi:nil="true"/>
    <lcf76f155ced4ddcb4097134ff3c332f xmlns="999e8182-db6f-4e28-8bf8-d1e72fab0c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C6DB96-1BC2-437A-9BBC-8CB5648F2A0D}"/>
</file>

<file path=customXml/itemProps2.xml><?xml version="1.0" encoding="utf-8"?>
<ds:datastoreItem xmlns:ds="http://schemas.openxmlformats.org/officeDocument/2006/customXml" ds:itemID="{86819658-4B7A-4191-A4EE-C819ECC4C906}"/>
</file>

<file path=customXml/itemProps3.xml><?xml version="1.0" encoding="utf-8"?>
<ds:datastoreItem xmlns:ds="http://schemas.openxmlformats.org/officeDocument/2006/customXml" ds:itemID="{922CDE06-692D-41C6-AC58-B57AAF800C30}"/>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Eatwell-Roberts</dc:creator>
  <cp:keywords/>
  <dc:description/>
  <cp:lastModifiedBy>Fran Eatwell-Roberts</cp:lastModifiedBy>
  <cp:revision>2</cp:revision>
  <cp:lastPrinted>2020-01-20T12:36:00Z</cp:lastPrinted>
  <dcterms:created xsi:type="dcterms:W3CDTF">2020-01-21T14:49:00Z</dcterms:created>
  <dcterms:modified xsi:type="dcterms:W3CDTF">2020-01-21T14:49:00Z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0x0101004A81094F15B9834F911C6519F3E3CCA0</vt:lpwstr>
  </property>
  <property fmtid="{D5CDD505-2E9C-101B-9397-08002B2CF9AE}" pid="3" name="Order">
    <vt:r8>4098800</vt:r8>
  </property>
</Properties>
</file>